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5876D">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第3章 物质在水溶液中的行为</w:t>
      </w:r>
    </w:p>
    <w:p w14:paraId="3AF91ECA">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第2节 弱电解质的电离 盐类的水解</w:t>
      </w:r>
    </w:p>
    <w:p w14:paraId="021EFC16">
      <w:pPr>
        <w:jc w:val="center"/>
        <w:rPr>
          <w:rFonts w:ascii="Times New Roman" w:hAnsi="Times New Roman" w:eastAsia="宋体" w:cs="Times New Roman"/>
          <w:b/>
          <w:bCs/>
          <w:sz w:val="22"/>
          <w:lang w:val="zh-CN"/>
        </w:rPr>
      </w:pPr>
      <w:r>
        <w:rPr>
          <w:rFonts w:hint="eastAsia" w:ascii="Times New Roman" w:hAnsi="Times New Roman" w:eastAsia="宋体" w:cs="Times New Roman"/>
          <w:b/>
          <w:bCs/>
          <w:sz w:val="22"/>
        </w:rPr>
        <w:t>课时1</w:t>
      </w:r>
      <w:r>
        <w:rPr>
          <w:rFonts w:ascii="Times New Roman" w:hAnsi="Times New Roman" w:eastAsia="宋体" w:cs="Times New Roman"/>
          <w:b/>
          <w:bCs/>
          <w:sz w:val="22"/>
          <w:lang w:val="zh-CN"/>
        </w:rPr>
        <w:t>弱电解质的电离平衡</w:t>
      </w:r>
    </w:p>
    <w:p w14:paraId="79B97D27">
      <w:pPr>
        <w:spacing w:line="420" w:lineRule="exact"/>
        <w:rPr>
          <w:rFonts w:ascii="Times New Roman" w:hAnsi="Times New Roman" w:eastAsia="宋体" w:cs="Times New Roman"/>
          <w:b/>
          <w:bCs/>
          <w:color w:val="91ABDF"/>
          <w:sz w:val="22"/>
          <w:u w:val="thick"/>
        </w:rPr>
      </w:pPr>
      <w:r>
        <w:rPr>
          <w:rFonts w:ascii="Times New Roman" w:hAnsi="Times New Roman" w:eastAsia="宋体" w:cs="Times New Roman"/>
          <w:b/>
          <w:bCs/>
          <w:sz w:val="22"/>
        </w:rPr>
        <w:t>预习填空</w:t>
      </w:r>
    </w:p>
    <w:p w14:paraId="5C0344F8">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一、强电解质和弱电解质</w:t>
      </w:r>
    </w:p>
    <w:p w14:paraId="0479BBFC">
      <w:pPr>
        <w:spacing w:line="420" w:lineRule="exact"/>
        <w:rPr>
          <w:rFonts w:ascii="Times New Roman" w:hAnsi="Times New Roman" w:eastAsia="宋体" w:cs="Times New Roman"/>
          <w:szCs w:val="21"/>
        </w:rPr>
      </w:pPr>
      <w:r>
        <w:rPr>
          <w:rFonts w:ascii="Times New Roman" w:hAnsi="Times New Roman" w:eastAsia="宋体" w:cs="Times New Roman"/>
          <w:szCs w:val="21"/>
        </w:rPr>
        <w:t>1.电解质和非电解质</w:t>
      </w:r>
    </w:p>
    <w:p w14:paraId="4D2D5683">
      <w:pPr>
        <w:spacing w:line="420" w:lineRule="exact"/>
        <w:rPr>
          <w:rFonts w:ascii="Times New Roman" w:hAnsi="Times New Roman" w:eastAsia="宋体" w:cs="Times New Roman"/>
          <w:szCs w:val="21"/>
        </w:rPr>
      </w:pPr>
      <w:r>
        <w:rPr>
          <w:rFonts w:ascii="Times New Roman" w:hAnsi="Times New Roman" w:eastAsia="宋体" w:cs="Times New Roman"/>
          <w:szCs w:val="21"/>
        </w:rPr>
        <w:t>电解质:在水溶液中或熔融状态下能导电的</w:t>
      </w:r>
      <w:r>
        <w:rPr>
          <w:rFonts w:ascii="Times New Roman" w:hAnsi="Times New Roman" w:eastAsia="宋体" w:cs="Times New Roman"/>
          <w:color w:val="91ABDF"/>
          <w:szCs w:val="21"/>
          <w:u w:val="thick"/>
        </w:rPr>
        <w:t>化合物</w:t>
      </w:r>
      <w:r>
        <w:rPr>
          <w:rFonts w:ascii="Times New Roman" w:hAnsi="Times New Roman" w:eastAsia="宋体" w:cs="Times New Roman"/>
          <w:szCs w:val="21"/>
        </w:rPr>
        <w:t>。 </w:t>
      </w:r>
    </w:p>
    <w:p w14:paraId="5F5CC09F">
      <w:pPr>
        <w:spacing w:line="420" w:lineRule="exact"/>
        <w:rPr>
          <w:rFonts w:ascii="Times New Roman" w:hAnsi="Times New Roman" w:eastAsia="宋体" w:cs="Times New Roman"/>
          <w:szCs w:val="21"/>
        </w:rPr>
      </w:pPr>
      <w:r>
        <w:rPr>
          <w:rFonts w:ascii="Times New Roman" w:hAnsi="Times New Roman" w:eastAsia="宋体" w:cs="Times New Roman"/>
          <w:szCs w:val="21"/>
        </w:rPr>
        <w:t>非电解质:在水溶液中和熔融状态下均以分子形式存在,因而不能导电的</w:t>
      </w:r>
      <w:r>
        <w:rPr>
          <w:rFonts w:ascii="Times New Roman" w:hAnsi="Times New Roman" w:eastAsia="宋体" w:cs="Times New Roman"/>
          <w:color w:val="91ABDF"/>
          <w:szCs w:val="21"/>
          <w:u w:val="thick"/>
        </w:rPr>
        <w:t>化合物</w:t>
      </w:r>
      <w:r>
        <w:rPr>
          <w:rFonts w:ascii="Times New Roman" w:hAnsi="Times New Roman" w:eastAsia="宋体" w:cs="Times New Roman"/>
          <w:szCs w:val="21"/>
        </w:rPr>
        <w:t>。 </w:t>
      </w:r>
    </w:p>
    <w:p w14:paraId="04567639">
      <w:pPr>
        <w:spacing w:line="420" w:lineRule="exact"/>
        <w:rPr>
          <w:rFonts w:ascii="Times New Roman" w:hAnsi="Times New Roman" w:eastAsia="宋体" w:cs="Times New Roman"/>
          <w:szCs w:val="21"/>
        </w:rPr>
      </w:pPr>
      <w:r>
        <w:rPr>
          <w:rFonts w:ascii="Times New Roman" w:hAnsi="Times New Roman" w:eastAsia="宋体" w:cs="Times New Roman"/>
          <w:szCs w:val="21"/>
        </w:rPr>
        <w:t>2.强电解质和弱电解质</w:t>
      </w:r>
    </w:p>
    <w:p w14:paraId="04020FC0">
      <w:pPr>
        <w:spacing w:line="420" w:lineRule="exact"/>
        <w:rPr>
          <w:rFonts w:ascii="Times New Roman" w:hAnsi="Times New Roman" w:eastAsia="宋体" w:cs="Times New Roman"/>
          <w:szCs w:val="21"/>
        </w:rPr>
      </w:pPr>
      <w:r>
        <w:rPr>
          <w:rFonts w:ascii="Times New Roman" w:hAnsi="Times New Roman" w:eastAsia="宋体" w:cs="Times New Roman"/>
          <w:szCs w:val="21"/>
        </w:rPr>
        <w:t>(1)强电解质:在水溶液中或熔融状态下能够</w:t>
      </w:r>
      <w:r>
        <w:rPr>
          <w:rFonts w:ascii="Times New Roman" w:hAnsi="Times New Roman" w:eastAsia="宋体" w:cs="Times New Roman"/>
          <w:color w:val="91ABDF"/>
          <w:szCs w:val="21"/>
          <w:u w:val="thick"/>
        </w:rPr>
        <w:t>完全</w:t>
      </w:r>
      <w:r>
        <w:rPr>
          <w:rFonts w:ascii="Times New Roman" w:hAnsi="Times New Roman" w:eastAsia="宋体" w:cs="Times New Roman"/>
          <w:szCs w:val="21"/>
        </w:rPr>
        <w:t>电离的电解质。如</w:t>
      </w:r>
      <w:r>
        <w:rPr>
          <w:rFonts w:ascii="Times New Roman" w:hAnsi="Times New Roman" w:eastAsia="宋体" w:cs="Times New Roman"/>
          <w:color w:val="91ABDF"/>
          <w:szCs w:val="21"/>
          <w:u w:val="thick"/>
        </w:rPr>
        <w:t>强酸</w:t>
      </w:r>
      <w:r>
        <w:rPr>
          <w:rFonts w:ascii="Times New Roman" w:hAnsi="Times New Roman" w:eastAsia="宋体" w:cs="Times New Roman"/>
          <w:szCs w:val="21"/>
        </w:rPr>
        <w:t>、</w:t>
      </w:r>
      <w:r>
        <w:rPr>
          <w:rFonts w:ascii="Times New Roman" w:hAnsi="Times New Roman" w:eastAsia="宋体" w:cs="Times New Roman"/>
          <w:color w:val="91ABDF"/>
          <w:szCs w:val="21"/>
          <w:u w:val="thick"/>
        </w:rPr>
        <w:t>强碱</w:t>
      </w:r>
      <w:r>
        <w:rPr>
          <w:rFonts w:ascii="Times New Roman" w:hAnsi="Times New Roman" w:eastAsia="宋体" w:cs="Times New Roman"/>
          <w:szCs w:val="21"/>
        </w:rPr>
        <w:t>、</w:t>
      </w:r>
      <w:r>
        <w:rPr>
          <w:rFonts w:ascii="Times New Roman" w:hAnsi="Times New Roman" w:eastAsia="宋体" w:cs="Times New Roman"/>
          <w:color w:val="91ABDF"/>
          <w:szCs w:val="21"/>
          <w:u w:val="thick"/>
        </w:rPr>
        <w:t>绝大多数盐</w:t>
      </w:r>
      <w:r>
        <w:rPr>
          <w:rFonts w:ascii="Times New Roman" w:hAnsi="Times New Roman" w:eastAsia="宋体" w:cs="Times New Roman"/>
          <w:szCs w:val="21"/>
        </w:rPr>
        <w:t>、活泼金属氧化物等。 </w:t>
      </w:r>
    </w:p>
    <w:p w14:paraId="5E22DE36">
      <w:pPr>
        <w:spacing w:line="420" w:lineRule="exact"/>
        <w:rPr>
          <w:rFonts w:ascii="Times New Roman" w:hAnsi="Times New Roman" w:eastAsia="宋体" w:cs="Times New Roman"/>
          <w:szCs w:val="21"/>
        </w:rPr>
      </w:pPr>
      <w:r>
        <w:rPr>
          <w:rFonts w:ascii="Times New Roman" w:hAnsi="Times New Roman" w:eastAsia="宋体" w:cs="Times New Roman"/>
          <w:szCs w:val="21"/>
        </w:rPr>
        <w:t>(2)弱电解质:在水溶液中</w:t>
      </w:r>
      <w:r>
        <w:rPr>
          <w:rFonts w:ascii="Times New Roman" w:hAnsi="Times New Roman" w:eastAsia="宋体" w:cs="Times New Roman"/>
          <w:color w:val="91ABDF"/>
          <w:szCs w:val="21"/>
          <w:u w:val="thick"/>
        </w:rPr>
        <w:t>只能部分</w:t>
      </w:r>
      <w:r>
        <w:rPr>
          <w:rFonts w:ascii="Times New Roman" w:hAnsi="Times New Roman" w:eastAsia="宋体" w:cs="Times New Roman"/>
          <w:szCs w:val="21"/>
        </w:rPr>
        <w:t>电离的电解质。如</w:t>
      </w:r>
      <w:r>
        <w:rPr>
          <w:rFonts w:ascii="Times New Roman" w:hAnsi="Times New Roman" w:eastAsia="宋体" w:cs="Times New Roman"/>
          <w:color w:val="91ABDF"/>
          <w:szCs w:val="21"/>
          <w:u w:val="thick"/>
        </w:rPr>
        <w:t>弱酸</w:t>
      </w:r>
      <w:r>
        <w:rPr>
          <w:rFonts w:ascii="Times New Roman" w:hAnsi="Times New Roman" w:eastAsia="宋体" w:cs="Times New Roman"/>
          <w:szCs w:val="21"/>
        </w:rPr>
        <w:t>、</w:t>
      </w:r>
      <w:r>
        <w:rPr>
          <w:rFonts w:ascii="Times New Roman" w:hAnsi="Times New Roman" w:eastAsia="宋体" w:cs="Times New Roman"/>
          <w:color w:val="91ABDF"/>
          <w:szCs w:val="21"/>
          <w:u w:val="thick"/>
        </w:rPr>
        <w:t>弱碱</w:t>
      </w:r>
      <w:r>
        <w:rPr>
          <w:rFonts w:ascii="Times New Roman" w:hAnsi="Times New Roman" w:eastAsia="宋体" w:cs="Times New Roman"/>
          <w:szCs w:val="21"/>
        </w:rPr>
        <w:t>、</w:t>
      </w:r>
      <w:r>
        <w:rPr>
          <w:rFonts w:ascii="Times New Roman" w:hAnsi="Times New Roman" w:eastAsia="宋体" w:cs="Times New Roman"/>
          <w:color w:val="91ABDF"/>
          <w:szCs w:val="21"/>
          <w:u w:val="thick"/>
        </w:rPr>
        <w:t>水</w:t>
      </w:r>
      <w:r>
        <w:rPr>
          <w:rFonts w:ascii="Times New Roman" w:hAnsi="Times New Roman" w:eastAsia="宋体" w:cs="Times New Roman"/>
          <w:szCs w:val="21"/>
        </w:rPr>
        <w:t>等。 </w:t>
      </w:r>
    </w:p>
    <w:p w14:paraId="7AB3B6EC">
      <w:pPr>
        <w:spacing w:line="420" w:lineRule="exact"/>
        <w:rPr>
          <w:rFonts w:ascii="Times New Roman" w:hAnsi="Times New Roman" w:eastAsia="宋体" w:cs="Times New Roman"/>
          <w:szCs w:val="21"/>
        </w:rPr>
      </w:pPr>
      <w:r>
        <w:rPr>
          <w:rFonts w:ascii="Times New Roman" w:hAnsi="Times New Roman" w:eastAsia="宋体" w:cs="Times New Roman"/>
          <w:szCs w:val="21"/>
        </w:rPr>
        <w:t>3.电离方程式的书写</w:t>
      </w:r>
    </w:p>
    <w:p w14:paraId="5B7D7EDC">
      <w:pPr>
        <w:spacing w:line="420" w:lineRule="exact"/>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一元弱酸、弱碱一步电离。</w:t>
      </w:r>
    </w:p>
    <w:p w14:paraId="787892F6">
      <w:pPr>
        <w:spacing w:line="420" w:lineRule="exact"/>
        <w:rPr>
          <w:rFonts w:ascii="Times New Roman" w:hAnsi="Times New Roman" w:eastAsia="宋体" w:cs="Times New Roman"/>
          <w:szCs w:val="21"/>
        </w:rPr>
      </w:pPr>
      <w:r>
        <w:rPr>
          <w:rFonts w:ascii="Times New Roman" w:hAnsi="Times New Roman" w:eastAsia="宋体" w:cs="Times New Roman"/>
          <w:szCs w:val="21"/>
        </w:rPr>
        <w:t>如CH</w:t>
      </w:r>
      <w:r>
        <w:rPr>
          <w:rFonts w:ascii="Times New Roman" w:hAnsi="Times New Roman" w:eastAsia="宋体" w:cs="Times New Roman"/>
          <w:szCs w:val="21"/>
          <w:vertAlign w:val="subscript"/>
        </w:rPr>
        <w:t>3</w:t>
      </w:r>
      <w:r>
        <w:rPr>
          <w:rFonts w:ascii="Times New Roman" w:hAnsi="Times New Roman" w:eastAsia="宋体" w:cs="Times New Roman"/>
          <w:szCs w:val="21"/>
        </w:rPr>
        <w:t>COOH</w:t>
      </w:r>
      <w:r>
        <w:rPr>
          <w:rFonts w:ascii="Times New Roman" w:hAnsi="Times New Roman" w:eastAsia="宋体" w:cs="Times New Roman"/>
          <w:szCs w:val="21"/>
        </w:rPr>
        <w:drawing>
          <wp:inline distT="0" distB="0" distL="0" distR="0">
            <wp:extent cx="219075" cy="124460"/>
            <wp:effectExtent l="0" t="0" r="9525" b="8890"/>
            <wp:docPr id="1134" name="图片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 name="图片 1134"/>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color w:val="91ABDF"/>
          <w:szCs w:val="21"/>
          <w:u w:val="thick"/>
        </w:rPr>
        <w:t>CH</w:t>
      </w:r>
      <w:r>
        <w:rPr>
          <w:rFonts w:ascii="Times New Roman" w:hAnsi="Times New Roman" w:eastAsia="宋体" w:cs="Times New Roman"/>
          <w:color w:val="91ABDF"/>
          <w:szCs w:val="21"/>
          <w:u w:val="thick"/>
          <w:vertAlign w:val="subscript"/>
        </w:rPr>
        <w:t>3</w:t>
      </w:r>
      <w:r>
        <w:rPr>
          <w:rFonts w:ascii="Times New Roman" w:hAnsi="Times New Roman" w:eastAsia="宋体" w:cs="Times New Roman"/>
          <w:color w:val="91ABDF"/>
          <w:szCs w:val="21"/>
          <w:u w:val="thick"/>
        </w:rPr>
        <w:t>COO</w:t>
      </w:r>
      <w:r>
        <w:rPr>
          <w:rFonts w:ascii="Times New Roman" w:hAnsi="Times New Roman" w:eastAsia="宋体" w:cs="Times New Roman"/>
          <w:color w:val="91ABDF"/>
          <w:szCs w:val="21"/>
          <w:u w:val="thick"/>
          <w:vertAlign w:val="superscript"/>
        </w:rPr>
        <w:t>-</w:t>
      </w:r>
      <w:r>
        <w:rPr>
          <w:rFonts w:ascii="Times New Roman" w:hAnsi="Times New Roman" w:eastAsia="宋体" w:cs="Times New Roman"/>
          <w:color w:val="91ABDF"/>
          <w:szCs w:val="21"/>
          <w:u w:val="thick"/>
        </w:rPr>
        <w:t>+H</w:t>
      </w:r>
      <w:r>
        <w:rPr>
          <w:rFonts w:ascii="Times New Roman" w:hAnsi="Times New Roman" w:eastAsia="宋体" w:cs="Times New Roman"/>
          <w:color w:val="91ABDF"/>
          <w:szCs w:val="21"/>
          <w:u w:val="thick"/>
          <w:vertAlign w:val="superscript"/>
        </w:rPr>
        <w:t>+</w:t>
      </w:r>
      <w:r>
        <w:rPr>
          <w:rFonts w:ascii="Times New Roman" w:hAnsi="Times New Roman" w:eastAsia="宋体" w:cs="Times New Roman"/>
          <w:szCs w:val="21"/>
        </w:rPr>
        <w:t>; </w:t>
      </w:r>
      <w:r>
        <w:pict>
          <v:line id="直接连接符 20" o:spid="_x0000_s2051" o:spt="20" style="position:absolute;left:0pt;margin-left:58.6pt;margin-top:20pt;height:0pt;width:43.5pt;z-index:251660288;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">
            <v:path arrowok="t"/>
            <v:fill focussize="0,0"/>
            <v:stroke weight="1pt" color="#4874CB" joinstyle="miter"/>
            <v:imagedata o:title=""/>
            <o:lock v:ext="edit"/>
          </v:line>
        </w:pict>
      </w:r>
      <w:r>
        <w:rPr>
          <w:rFonts w:ascii="Times New Roman" w:hAnsi="Times New Roman" w:eastAsia="宋体" w:cs="Times New Roman"/>
          <w:szCs w:val="21"/>
        </w:rPr>
        <w:t>NH</w:t>
      </w:r>
      <w:r>
        <w:rPr>
          <w:rFonts w:ascii="Times New Roman" w:hAnsi="Times New Roman" w:eastAsia="宋体" w:cs="Times New Roman"/>
          <w:szCs w:val="21"/>
          <w:vertAlign w:val="subscript"/>
        </w:rPr>
        <w:t>3</w:t>
      </w:r>
      <w:r>
        <w:rPr>
          <w:rFonts w:ascii="Times New Roman" w:hAnsi="Times New Roman" w:eastAsia="宋体" w:cs="Times New Roman"/>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O</w:t>
      </w:r>
      <w:r>
        <w:rPr>
          <w:rFonts w:ascii="Times New Roman" w:hAnsi="Times New Roman" w:eastAsia="宋体" w:cs="Times New Roman"/>
          <w:szCs w:val="21"/>
        </w:rPr>
        <w:drawing>
          <wp:inline distT="0" distB="0" distL="0" distR="0">
            <wp:extent cx="219075" cy="124460"/>
            <wp:effectExtent l="0" t="0" r="9525" b="8890"/>
            <wp:docPr id="1135" name="图片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 name="图片 1135"/>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color w:val="91ABDF"/>
          <w:szCs w:val="21"/>
        </w:rPr>
        <w:t>N</w:t>
      </w:r>
      <m:oMath>
        <m:sSubSup>
          <m:sSubSupPr>
            <m:ctrlPr>
              <w:rPr>
                <w:rFonts w:ascii="Cambria Math" w:hAnsi="Cambria Math" w:eastAsia="宋体" w:cs="Times New Roman"/>
                <w:color w:val="91ABDF"/>
                <w:szCs w:val="21"/>
              </w:rPr>
            </m:ctrlPr>
          </m:sSubSupPr>
          <m:e>
            <m:r>
              <m:rPr/>
              <w:rPr>
                <w:rFonts w:ascii="Cambria Math" w:hAnsi="Cambria Math" w:eastAsia="宋体" w:cs="Times New Roman"/>
                <w:color w:val="91ABDF"/>
                <w:szCs w:val="21"/>
              </w:rPr>
              <m:t>H</m:t>
            </m:r>
            <m:ctrlPr>
              <w:rPr>
                <w:rFonts w:ascii="Cambria Math" w:hAnsi="Cambria Math" w:eastAsia="宋体" w:cs="Times New Roman"/>
                <w:color w:val="91ABDF"/>
                <w:szCs w:val="21"/>
              </w:rPr>
            </m:ctrlPr>
          </m:e>
          <m:sub>
            <m:r>
              <m:rPr/>
              <w:rPr>
                <w:rFonts w:ascii="Cambria Math" w:hAnsi="Cambria Math" w:eastAsia="宋体" w:cs="Times New Roman"/>
                <w:color w:val="91ABDF"/>
                <w:szCs w:val="21"/>
              </w:rPr>
              <m:t>4</m:t>
            </m:r>
            <m:ctrlPr>
              <w:rPr>
                <w:rFonts w:ascii="Cambria Math" w:hAnsi="Cambria Math" w:eastAsia="宋体" w:cs="Times New Roman"/>
                <w:color w:val="91ABDF"/>
                <w:szCs w:val="21"/>
              </w:rPr>
            </m:ctrlPr>
          </m:sub>
          <m:sup>
            <m:r>
              <m:rPr/>
              <w:rPr>
                <w:rFonts w:ascii="Cambria Math" w:hAnsi="Cambria Math" w:eastAsia="宋体" w:cs="Times New Roman"/>
                <w:color w:val="91ABDF"/>
                <w:szCs w:val="21"/>
              </w:rPr>
              <m:t>+</m:t>
            </m:r>
            <m:ctrlPr>
              <w:rPr>
                <w:rFonts w:ascii="Cambria Math" w:hAnsi="Cambria Math" w:eastAsia="宋体" w:cs="Times New Roman"/>
                <w:color w:val="91ABDF"/>
                <w:szCs w:val="21"/>
              </w:rPr>
            </m:ctrlPr>
          </m:sup>
        </m:sSubSup>
      </m:oMath>
      <w:r>
        <w:rPr>
          <w:rFonts w:ascii="Times New Roman" w:hAnsi="Times New Roman" w:eastAsia="宋体" w:cs="Times New Roman"/>
          <w:color w:val="91ABDF"/>
          <w:szCs w:val="21"/>
        </w:rPr>
        <w:t>+OH</w:t>
      </w:r>
      <w:r>
        <w:rPr>
          <w:rFonts w:ascii="Times New Roman" w:hAnsi="Times New Roman" w:eastAsia="宋体" w:cs="Times New Roman"/>
          <w:color w:val="91ABDF"/>
          <w:szCs w:val="21"/>
          <w:vertAlign w:val="superscript"/>
        </w:rPr>
        <w:t>-</w:t>
      </w:r>
      <w:r>
        <w:rPr>
          <w:rFonts w:ascii="Times New Roman" w:hAnsi="Times New Roman" w:eastAsia="宋体" w:cs="Times New Roman"/>
          <w:szCs w:val="21"/>
        </w:rPr>
        <w:t>。 </w:t>
      </w:r>
    </w:p>
    <w:p w14:paraId="44AAEDCA">
      <w:pPr>
        <w:spacing w:line="420" w:lineRule="exact"/>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多元弱酸分步电离,必须</w:t>
      </w:r>
      <w:r>
        <w:rPr>
          <w:rFonts w:ascii="Times New Roman" w:hAnsi="Times New Roman" w:eastAsia="宋体" w:cs="Times New Roman"/>
          <w:color w:val="91ABDF"/>
          <w:szCs w:val="21"/>
          <w:u w:val="thick"/>
        </w:rPr>
        <w:t>分步</w:t>
      </w:r>
      <w:r>
        <w:rPr>
          <w:rFonts w:ascii="Times New Roman" w:hAnsi="Times New Roman" w:eastAsia="宋体" w:cs="Times New Roman"/>
          <w:szCs w:val="21"/>
        </w:rPr>
        <w:t>写出,不可合并(其中以第一步电离为主)。 </w:t>
      </w:r>
    </w:p>
    <w:p w14:paraId="6C713320">
      <w:pPr>
        <w:spacing w:line="420" w:lineRule="exact"/>
        <w:rPr>
          <w:rFonts w:ascii="Times New Roman" w:hAnsi="Times New Roman" w:eastAsia="宋体" w:cs="Times New Roman"/>
          <w:szCs w:val="21"/>
        </w:rPr>
      </w:pPr>
      <w:r>
        <w:rPr>
          <w:rFonts w:ascii="Times New Roman" w:hAnsi="Times New Roman" w:eastAsia="宋体" w:cs="Times New Roman"/>
          <w:szCs w:val="21"/>
        </w:rPr>
        <w:t>如H</w:t>
      </w:r>
      <w:r>
        <w:rPr>
          <w:rFonts w:ascii="Times New Roman" w:hAnsi="Times New Roman" w:eastAsia="宋体" w:cs="Times New Roman"/>
          <w:szCs w:val="21"/>
          <w:vertAlign w:val="subscript"/>
        </w:rPr>
        <w:t>2</w:t>
      </w:r>
      <w:r>
        <w:rPr>
          <w:rFonts w:ascii="Times New Roman" w:hAnsi="Times New Roman" w:eastAsia="宋体" w:cs="Times New Roman"/>
          <w:szCs w:val="21"/>
        </w:rPr>
        <w:t>CO</w:t>
      </w:r>
      <w:r>
        <w:rPr>
          <w:rFonts w:ascii="Times New Roman" w:hAnsi="Times New Roman" w:eastAsia="宋体" w:cs="Times New Roman"/>
          <w:szCs w:val="21"/>
          <w:vertAlign w:val="subscript"/>
        </w:rPr>
        <w:t>3</w:t>
      </w:r>
      <w:r>
        <w:rPr>
          <w:rFonts w:ascii="Times New Roman" w:hAnsi="Times New Roman" w:eastAsia="宋体" w:cs="Times New Roman"/>
          <w:szCs w:val="21"/>
        </w:rPr>
        <w:drawing>
          <wp:inline distT="0" distB="0" distL="0" distR="0">
            <wp:extent cx="219075" cy="124460"/>
            <wp:effectExtent l="0" t="0" r="9525" b="8890"/>
            <wp:docPr id="1136" name="图片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 name="图片 1136"/>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H</w:t>
      </w:r>
      <w:r>
        <w:rPr>
          <w:rFonts w:ascii="Times New Roman" w:hAnsi="Times New Roman" w:eastAsia="宋体" w:cs="Times New Roman"/>
          <w:szCs w:val="21"/>
          <w:vertAlign w:val="superscript"/>
        </w:rPr>
        <w:t>+</w:t>
      </w:r>
      <w:r>
        <w:rPr>
          <w:rFonts w:ascii="Times New Roman" w:hAnsi="Times New Roman" w:eastAsia="宋体" w:cs="Times New Roman"/>
          <w:szCs w:val="21"/>
        </w:rPr>
        <w:t>+HC</w:t>
      </w:r>
      <m:oMath>
        <m:sSubSup>
          <m:sSubSupPr>
            <m:ctrlPr>
              <w:rPr>
                <w:rFonts w:ascii="Cambria Math" w:hAnsi="Cambria Math" w:eastAsia="宋体" w:cs="Times New Roman"/>
                <w:szCs w:val="21"/>
              </w:rPr>
            </m:ctrlPr>
          </m:sSubSupPr>
          <m:e>
            <m:r>
              <m:rPr>
                <m:sty m:val="p"/>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3</m:t>
            </m:r>
            <m:ctrlPr>
              <w:rPr>
                <w:rFonts w:ascii="Cambria Math" w:hAnsi="Cambria Math" w:eastAsia="宋体" w:cs="Times New Roman"/>
                <w:szCs w:val="21"/>
              </w:rPr>
            </m:ctrlPr>
          </m:sub>
          <m:sup>
            <m:r>
              <m:rPr>
                <m:nor/>
                <m:sty m:val="p"/>
              </m:rPr>
              <w:rPr>
                <w:rFonts w:ascii="Cambria Math" w:hAnsi="Cambria Math" w:eastAsia="宋体" w:cs="Times New Roman"/>
                <w:b w:val="0"/>
                <w:i w:val="0"/>
                <w:szCs w:val="21"/>
              </w:rPr>
              <m:t>-</m:t>
            </m:r>
            <m:ctrlPr>
              <w:rPr>
                <w:rFonts w:ascii="Cambria Math" w:hAnsi="Cambria Math" w:eastAsia="宋体" w:cs="Times New Roman"/>
                <w:szCs w:val="21"/>
              </w:rPr>
            </m:ctrlPr>
          </m:sup>
        </m:sSubSup>
      </m:oMath>
      <w:r>
        <w:rPr>
          <w:rFonts w:ascii="Times New Roman" w:hAnsi="Times New Roman" w:eastAsia="宋体" w:cs="Times New Roman"/>
          <w:szCs w:val="21"/>
        </w:rPr>
        <w:t>(主),HC</w:t>
      </w:r>
      <m:oMath>
        <m:sSubSup>
          <m:sSubSupPr>
            <m:ctrlPr>
              <w:rPr>
                <w:rFonts w:ascii="Cambria Math" w:hAnsi="Cambria Math" w:eastAsia="宋体" w:cs="Times New Roman"/>
                <w:szCs w:val="21"/>
              </w:rPr>
            </m:ctrlPr>
          </m:sSubSupPr>
          <m:e>
            <m:r>
              <m:rPr>
                <m:sty m:val="p"/>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3</m:t>
            </m:r>
            <m:ctrlPr>
              <w:rPr>
                <w:rFonts w:ascii="Cambria Math" w:hAnsi="Cambria Math" w:eastAsia="宋体" w:cs="Times New Roman"/>
                <w:szCs w:val="21"/>
              </w:rPr>
            </m:ctrlPr>
          </m:sub>
          <m:sup>
            <m:r>
              <m:rPr>
                <m:nor/>
                <m:sty m:val="p"/>
              </m:rPr>
              <w:rPr>
                <w:rFonts w:ascii="Cambria Math" w:hAnsi="Cambria Math" w:eastAsia="宋体" w:cs="Times New Roman"/>
                <w:b w:val="0"/>
                <w:i w:val="0"/>
                <w:szCs w:val="21"/>
              </w:rPr>
              <m:t>-</m:t>
            </m:r>
            <m:ctrlPr>
              <w:rPr>
                <w:rFonts w:ascii="Cambria Math" w:hAnsi="Cambria Math" w:eastAsia="宋体" w:cs="Times New Roman"/>
                <w:szCs w:val="21"/>
              </w:rPr>
            </m:ctrlPr>
          </m:sup>
        </m:sSubSup>
      </m:oMath>
      <w:r>
        <w:rPr>
          <w:rFonts w:ascii="Times New Roman" w:hAnsi="Times New Roman" w:eastAsia="宋体" w:cs="Times New Roman"/>
          <w:szCs w:val="21"/>
        </w:rPr>
        <w:drawing>
          <wp:inline distT="0" distB="0" distL="0" distR="0">
            <wp:extent cx="219075" cy="124460"/>
            <wp:effectExtent l="0" t="0" r="9525" b="8890"/>
            <wp:docPr id="1137" name="图片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 name="图片 1137"/>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H</w:t>
      </w:r>
      <w:r>
        <w:rPr>
          <w:rFonts w:ascii="Times New Roman" w:hAnsi="Times New Roman" w:eastAsia="宋体" w:cs="Times New Roman"/>
          <w:szCs w:val="21"/>
          <w:vertAlign w:val="superscript"/>
        </w:rPr>
        <w:t>+</w:t>
      </w:r>
      <w:r>
        <w:rPr>
          <w:rFonts w:ascii="Times New Roman" w:hAnsi="Times New Roman" w:eastAsia="宋体" w:cs="Times New Roman"/>
          <w:szCs w:val="21"/>
        </w:rPr>
        <w:t>+C</w:t>
      </w:r>
      <m:oMath>
        <m:sSubSup>
          <m:sSubSupPr>
            <m:ctrlPr>
              <w:rPr>
                <w:rFonts w:ascii="Cambria Math" w:hAnsi="Cambria Math" w:eastAsia="宋体" w:cs="Times New Roman"/>
                <w:szCs w:val="21"/>
              </w:rPr>
            </m:ctrlPr>
          </m:sSubSupPr>
          <m:e>
            <m:r>
              <m:rPr>
                <m:sty m:val="p"/>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3</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oMath>
      <w:r>
        <w:rPr>
          <w:rFonts w:ascii="Times New Roman" w:hAnsi="Times New Roman" w:eastAsia="宋体" w:cs="Times New Roman"/>
          <w:szCs w:val="21"/>
        </w:rPr>
        <w:t>(次)。</w:t>
      </w:r>
    </w:p>
    <w:p w14:paraId="4DC33D2C">
      <w:pPr>
        <w:spacing w:line="420" w:lineRule="exact"/>
        <w:rPr>
          <w:rFonts w:ascii="Times New Roman" w:hAnsi="Times New Roman" w:eastAsia="宋体" w:cs="Times New Roman"/>
          <w:szCs w:val="21"/>
        </w:rPr>
      </w:pPr>
      <w:r>
        <w:rPr>
          <w:rFonts w:ascii="Cambria Math" w:hAnsi="Cambria Math" w:eastAsia="宋体" w:cs="Cambria Math"/>
          <w:szCs w:val="21"/>
        </w:rPr>
        <w:t>③</w:t>
      </w:r>
      <w:r>
        <w:rPr>
          <w:rFonts w:ascii="Times New Roman" w:hAnsi="Times New Roman" w:eastAsia="宋体" w:cs="Times New Roman"/>
          <w:szCs w:val="21"/>
        </w:rPr>
        <w:t>多元弱碱分步电离 (较复杂),在中学阶段要求一步写出。</w:t>
      </w:r>
    </w:p>
    <w:p w14:paraId="560EA636">
      <w:pPr>
        <w:spacing w:line="420" w:lineRule="exact"/>
        <w:rPr>
          <w:rFonts w:ascii="Times New Roman" w:hAnsi="Times New Roman" w:eastAsia="宋体" w:cs="Times New Roman"/>
          <w:szCs w:val="21"/>
        </w:rPr>
      </w:pPr>
      <w:r>
        <w:rPr>
          <w:rFonts w:ascii="Times New Roman" w:hAnsi="Times New Roman" w:eastAsia="宋体" w:cs="Times New Roman"/>
          <w:szCs w:val="21"/>
        </w:rPr>
        <w:t>如Fe(OH)</w:t>
      </w:r>
      <w:r>
        <w:rPr>
          <w:rFonts w:ascii="Times New Roman" w:hAnsi="Times New Roman" w:eastAsia="宋体" w:cs="Times New Roman"/>
          <w:szCs w:val="21"/>
          <w:vertAlign w:val="subscript"/>
        </w:rPr>
        <w:t>3</w:t>
      </w:r>
      <w:r>
        <w:rPr>
          <w:rFonts w:ascii="Times New Roman" w:hAnsi="Times New Roman" w:eastAsia="宋体" w:cs="Times New Roman"/>
          <w:szCs w:val="21"/>
        </w:rPr>
        <w:drawing>
          <wp:inline distT="0" distB="0" distL="0" distR="0">
            <wp:extent cx="219075" cy="124460"/>
            <wp:effectExtent l="0" t="0" r="9525" b="8890"/>
            <wp:docPr id="1138" name="图片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 name="图片 1138"/>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color w:val="91ABDF"/>
          <w:szCs w:val="21"/>
          <w:u w:val="thick"/>
        </w:rPr>
        <w:t>Fe</w:t>
      </w:r>
      <w:r>
        <w:rPr>
          <w:rFonts w:ascii="Times New Roman" w:hAnsi="Times New Roman" w:eastAsia="宋体" w:cs="Times New Roman"/>
          <w:color w:val="91ABDF"/>
          <w:szCs w:val="21"/>
          <w:u w:val="thick"/>
          <w:vertAlign w:val="superscript"/>
        </w:rPr>
        <w:t>3+</w:t>
      </w:r>
      <w:r>
        <w:rPr>
          <w:rFonts w:ascii="Times New Roman" w:hAnsi="Times New Roman" w:eastAsia="宋体" w:cs="Times New Roman"/>
          <w:color w:val="91ABDF"/>
          <w:szCs w:val="21"/>
          <w:u w:val="thick"/>
        </w:rPr>
        <w:t>+3OH</w:t>
      </w:r>
      <w:r>
        <w:rPr>
          <w:rFonts w:ascii="Times New Roman" w:hAnsi="Times New Roman" w:eastAsia="宋体" w:cs="Times New Roman"/>
          <w:color w:val="91ABDF"/>
          <w:szCs w:val="21"/>
          <w:u w:val="thick"/>
          <w:vertAlign w:val="superscript"/>
        </w:rPr>
        <w:t>-</w:t>
      </w:r>
      <w:r>
        <w:rPr>
          <w:rFonts w:ascii="Times New Roman" w:hAnsi="Times New Roman" w:eastAsia="宋体" w:cs="Times New Roman"/>
          <w:szCs w:val="21"/>
        </w:rPr>
        <w:t>。 </w:t>
      </w:r>
    </w:p>
    <w:p w14:paraId="0B0B4EAC">
      <w:pPr>
        <w:spacing w:line="420" w:lineRule="exact"/>
        <w:rPr>
          <w:rFonts w:ascii="Times New Roman" w:hAnsi="Times New Roman" w:eastAsia="宋体" w:cs="Times New Roman"/>
          <w:b/>
          <w:bCs/>
          <w:szCs w:val="21"/>
        </w:rPr>
      </w:pPr>
      <w:r>
        <w:rPr>
          <w:rFonts w:ascii="Times New Roman" w:hAnsi="Times New Roman" w:eastAsia="宋体" w:cs="Times New Roman"/>
          <w:b/>
          <w:bCs/>
          <w:szCs w:val="21"/>
        </w:rPr>
        <w:t>二、弱电解质的电离平衡</w:t>
      </w:r>
    </w:p>
    <w:p w14:paraId="4BD5C2EC">
      <w:pPr>
        <w:spacing w:line="420" w:lineRule="exact"/>
        <w:rPr>
          <w:rFonts w:ascii="Times New Roman" w:hAnsi="Times New Roman" w:eastAsia="宋体" w:cs="Times New Roman"/>
          <w:szCs w:val="21"/>
        </w:rPr>
      </w:pPr>
      <w:r>
        <w:rPr>
          <w:rFonts w:ascii="Times New Roman" w:hAnsi="Times New Roman" w:eastAsia="宋体" w:cs="Times New Roman"/>
          <w:szCs w:val="21"/>
        </w:rPr>
        <w:t>1.电离平衡状态</w:t>
      </w:r>
    </w:p>
    <w:p w14:paraId="62A3B88A">
      <w:pPr>
        <w:spacing w:line="420" w:lineRule="exact"/>
        <w:rPr>
          <w:rFonts w:ascii="Times New Roman" w:hAnsi="Times New Roman" w:eastAsia="宋体" w:cs="Times New Roman"/>
          <w:szCs w:val="21"/>
        </w:rPr>
      </w:pPr>
      <w:r>
        <w:rPr>
          <w:rFonts w:ascii="Times New Roman" w:hAnsi="Times New Roman" w:eastAsia="宋体" w:cs="Times New Roman"/>
          <w:szCs w:val="21"/>
        </w:rPr>
        <w:t>(1)概念:在一定条件(如温度、浓度)下,弱电解质分子电离成离子的速率与离子结合成弱电解质分子的速率相等,溶液中各分子和离子的浓度都不再发生变化,电离过程就达到了电离平衡状态。 </w:t>
      </w:r>
    </w:p>
    <w:p w14:paraId="3DEB7A0C">
      <w:pPr>
        <w:spacing w:line="420" w:lineRule="exact"/>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2</w:t>
      </w:r>
      <w:r>
        <w:rPr>
          <w:rFonts w:ascii="Times New Roman" w:hAnsi="Times New Roman" w:eastAsia="宋体" w:cs="Times New Roman"/>
          <w:szCs w:val="21"/>
        </w:rPr>
        <w:t>)电离平衡的特征</w:t>
      </w:r>
    </w:p>
    <w:p w14:paraId="0DB5F820">
      <w:pPr>
        <w:spacing w:line="420" w:lineRule="exact"/>
        <w:rPr>
          <w:rFonts w:ascii="Times New Roman" w:hAnsi="Times New Roman" w:eastAsia="宋体" w:cs="Times New Roman"/>
          <w:color w:val="91ABDF"/>
          <w:szCs w:val="21"/>
          <w:u w:val="thick"/>
        </w:rPr>
      </w:pPr>
      <w:r>
        <w:rPr>
          <w:rFonts w:ascii="Times New Roman" w:hAnsi="Times New Roman" w:eastAsia="宋体" w:cs="Times New Roman"/>
          <w:szCs w:val="21"/>
        </w:rPr>
        <w:t>弱：研究对象为</w:t>
      </w:r>
      <w:r>
        <w:rPr>
          <w:rFonts w:ascii="Times New Roman" w:hAnsi="Times New Roman" w:eastAsia="宋体" w:cs="Times New Roman"/>
          <w:color w:val="91ABDF"/>
          <w:szCs w:val="21"/>
          <w:u w:val="thick"/>
        </w:rPr>
        <w:t>弱电解质</w:t>
      </w:r>
    </w:p>
    <w:p w14:paraId="18FCAE55">
      <w:pPr>
        <w:spacing w:line="420" w:lineRule="exact"/>
        <w:rPr>
          <w:rFonts w:ascii="Times New Roman" w:hAnsi="Times New Roman" w:eastAsia="宋体" w:cs="Times New Roman"/>
          <w:color w:val="91ABDF"/>
          <w:szCs w:val="21"/>
          <w:u w:val="thick"/>
        </w:rPr>
      </w:pPr>
      <w:r>
        <w:rPr>
          <w:rFonts w:ascii="Times New Roman" w:hAnsi="Times New Roman" w:eastAsia="宋体" w:cs="Times New Roman"/>
          <w:szCs w:val="21"/>
        </w:rPr>
        <w:t>等：弱电解质分子电离成离子的速率和离子重新结合成分子的速率</w:t>
      </w:r>
      <w:r>
        <w:rPr>
          <w:rFonts w:ascii="Times New Roman" w:hAnsi="Times New Roman" w:eastAsia="宋体" w:cs="Times New Roman"/>
          <w:color w:val="91ABDF"/>
          <w:szCs w:val="21"/>
          <w:u w:val="thick"/>
        </w:rPr>
        <w:t>相等</w:t>
      </w:r>
    </w:p>
    <w:p w14:paraId="30B8AA07">
      <w:pPr>
        <w:spacing w:line="420" w:lineRule="exact"/>
        <w:rPr>
          <w:rFonts w:ascii="Times New Roman" w:hAnsi="Times New Roman" w:eastAsia="宋体" w:cs="Times New Roman"/>
          <w:szCs w:val="21"/>
        </w:rPr>
      </w:pPr>
      <w:r>
        <w:rPr>
          <w:rFonts w:ascii="Times New Roman" w:hAnsi="Times New Roman" w:eastAsia="宋体" w:cs="Times New Roman"/>
          <w:szCs w:val="21"/>
        </w:rPr>
        <w:t>动：电离平衡和化学平衡一样是动态的</w:t>
      </w:r>
    </w:p>
    <w:p w14:paraId="375F9C65">
      <w:pPr>
        <w:spacing w:line="420" w:lineRule="exact"/>
        <w:rPr>
          <w:rFonts w:ascii="Times New Roman" w:hAnsi="Times New Roman" w:eastAsia="宋体" w:cs="Times New Roman"/>
          <w:color w:val="91ABDF"/>
          <w:szCs w:val="21"/>
          <w:u w:val="thick"/>
        </w:rPr>
      </w:pPr>
      <w:r>
        <w:rPr>
          <w:rFonts w:ascii="Times New Roman" w:hAnsi="Times New Roman" w:eastAsia="宋体" w:cs="Times New Roman"/>
          <w:szCs w:val="21"/>
        </w:rPr>
        <w:t>定：达到平衡时，溶液中离子浓度和分子浓度都保持</w:t>
      </w:r>
      <w:r>
        <w:rPr>
          <w:rFonts w:ascii="Times New Roman" w:hAnsi="Times New Roman" w:eastAsia="宋体" w:cs="Times New Roman"/>
          <w:color w:val="91ABDF"/>
          <w:szCs w:val="21"/>
          <w:u w:val="thick"/>
        </w:rPr>
        <w:t>不变</w:t>
      </w:r>
    </w:p>
    <w:p w14:paraId="69FF9DF7">
      <w:pPr>
        <w:spacing w:line="420" w:lineRule="exact"/>
        <w:rPr>
          <w:rFonts w:ascii="Times New Roman" w:hAnsi="Times New Roman" w:eastAsia="宋体" w:cs="Times New Roman"/>
          <w:szCs w:val="21"/>
        </w:rPr>
      </w:pPr>
      <w:r>
        <w:rPr>
          <w:rFonts w:ascii="Times New Roman" w:hAnsi="Times New Roman" w:eastAsia="宋体" w:cs="Times New Roman"/>
          <w:szCs w:val="21"/>
        </w:rPr>
        <w:t>变：条件改变，电离平衡发生移动，各粒子的浓度要发生改变</w:t>
      </w:r>
    </w:p>
    <w:p w14:paraId="0E5BED51">
      <w:pPr>
        <w:spacing w:line="420" w:lineRule="exact"/>
        <w:rPr>
          <w:rFonts w:ascii="Times New Roman" w:hAnsi="Times New Roman" w:eastAsia="宋体" w:cs="Times New Roman"/>
          <w:szCs w:val="21"/>
        </w:rPr>
      </w:pPr>
      <w:r>
        <w:rPr>
          <w:rFonts w:ascii="Times New Roman" w:hAnsi="Times New Roman" w:eastAsia="宋体" w:cs="Times New Roman"/>
          <w:szCs w:val="21"/>
        </w:rPr>
        <w:t>2.电离平衡的影响因素</w:t>
      </w:r>
    </w:p>
    <w:tbl>
      <w:tblPr>
        <w:tblStyle w:val="15"/>
        <w:tblW w:w="4605"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826"/>
        <w:gridCol w:w="6923"/>
      </w:tblGrid>
      <w:tr w14:paraId="7544FEC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tcMar>
              <w:left w:w="0" w:type="dxa"/>
              <w:right w:w="0" w:type="dxa"/>
            </w:tcMar>
            <w:vAlign w:val="center"/>
          </w:tcPr>
          <w:p w14:paraId="77ABF512">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因素</w:t>
            </w:r>
          </w:p>
        </w:tc>
        <w:tc>
          <w:tcPr>
            <w:tcW w:w="4467" w:type="pct"/>
            <w:tcMar>
              <w:left w:w="105" w:type="dxa"/>
              <w:right w:w="105" w:type="dxa"/>
            </w:tcMar>
            <w:vAlign w:val="center"/>
          </w:tcPr>
          <w:p w14:paraId="1AE599AB">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影响结果</w:t>
            </w:r>
          </w:p>
        </w:tc>
      </w:tr>
      <w:tr w14:paraId="289ACA6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tcMar>
              <w:left w:w="0" w:type="dxa"/>
              <w:right w:w="0" w:type="dxa"/>
            </w:tcMar>
            <w:vAlign w:val="center"/>
          </w:tcPr>
          <w:p w14:paraId="72EEE0F8">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温度</w:t>
            </w:r>
          </w:p>
        </w:tc>
        <w:tc>
          <w:tcPr>
            <w:tcW w:w="4467" w:type="pct"/>
            <w:tcMar>
              <w:left w:w="105" w:type="dxa"/>
              <w:right w:w="105" w:type="dxa"/>
            </w:tcMar>
            <w:vAlign w:val="center"/>
          </w:tcPr>
          <w:p w14:paraId="513991CA">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升高温度,电离平衡</w:t>
            </w:r>
            <w:r>
              <w:rPr>
                <w:rFonts w:ascii="Times New Roman" w:hAnsi="Times New Roman" w:eastAsia="宋体" w:cs="Times New Roman"/>
                <w:color w:val="91ABDF"/>
                <w:szCs w:val="21"/>
                <w:u w:val="thick"/>
              </w:rPr>
              <w:t>正向</w:t>
            </w:r>
            <w:r>
              <w:rPr>
                <w:rFonts w:ascii="Times New Roman" w:hAnsi="Times New Roman" w:eastAsia="宋体" w:cs="Times New Roman"/>
                <w:szCs w:val="21"/>
              </w:rPr>
              <w:t>移动 </w:t>
            </w:r>
          </w:p>
        </w:tc>
      </w:tr>
      <w:tr w14:paraId="40933BD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tcMar>
              <w:left w:w="0" w:type="dxa"/>
              <w:right w:w="0" w:type="dxa"/>
            </w:tcMar>
            <w:vAlign w:val="center"/>
          </w:tcPr>
          <w:p w14:paraId="55547B7B">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浓度</w:t>
            </w:r>
          </w:p>
        </w:tc>
        <w:tc>
          <w:tcPr>
            <w:tcW w:w="4467" w:type="pct"/>
            <w:tcMar>
              <w:left w:w="105" w:type="dxa"/>
              <w:right w:w="105" w:type="dxa"/>
            </w:tcMar>
            <w:vAlign w:val="center"/>
          </w:tcPr>
          <w:p w14:paraId="25120D41">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加水稀释,电离平衡</w:t>
            </w:r>
            <w:r>
              <w:rPr>
                <w:rFonts w:ascii="Times New Roman" w:hAnsi="Times New Roman" w:eastAsia="宋体" w:cs="Times New Roman"/>
                <w:color w:val="91ABDF"/>
                <w:szCs w:val="21"/>
                <w:u w:val="thick"/>
              </w:rPr>
              <w:t>正向</w:t>
            </w:r>
            <w:r>
              <w:rPr>
                <w:rFonts w:ascii="Times New Roman" w:hAnsi="Times New Roman" w:eastAsia="宋体" w:cs="Times New Roman"/>
                <w:szCs w:val="21"/>
              </w:rPr>
              <w:t>移动 </w:t>
            </w:r>
          </w:p>
        </w:tc>
      </w:tr>
      <w:tr w14:paraId="27B60EA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vMerge w:val="restart"/>
            <w:tcMar>
              <w:left w:w="0" w:type="dxa"/>
              <w:right w:w="0" w:type="dxa"/>
            </w:tcMar>
            <w:vAlign w:val="center"/>
          </w:tcPr>
          <w:p w14:paraId="6B6BC760">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外加</w:t>
            </w:r>
          </w:p>
          <w:p w14:paraId="20CC9C06">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物质</w:t>
            </w:r>
          </w:p>
        </w:tc>
        <w:tc>
          <w:tcPr>
            <w:tcW w:w="4467" w:type="pct"/>
            <w:tcMar>
              <w:left w:w="105" w:type="dxa"/>
              <w:right w:w="105" w:type="dxa"/>
            </w:tcMar>
            <w:vAlign w:val="center"/>
          </w:tcPr>
          <w:p w14:paraId="648A4641">
            <w:pPr>
              <w:spacing w:line="420" w:lineRule="exact"/>
              <w:rPr>
                <w:rFonts w:ascii="Times New Roman" w:hAnsi="Times New Roman" w:eastAsia="宋体" w:cs="Times New Roman"/>
                <w:szCs w:val="21"/>
              </w:rPr>
            </w:pPr>
            <w:r>
              <w:rPr>
                <w:rFonts w:ascii="Times New Roman" w:hAnsi="Times New Roman" w:eastAsia="宋体" w:cs="Times New Roman"/>
                <w:szCs w:val="21"/>
              </w:rPr>
              <w:t>加入与弱电解质电离出的离子相同的离子,电离平衡</w:t>
            </w:r>
            <w:r>
              <w:rPr>
                <w:rFonts w:ascii="Times New Roman" w:hAnsi="Times New Roman" w:eastAsia="宋体" w:cs="Times New Roman"/>
                <w:color w:val="91ABDF"/>
                <w:szCs w:val="21"/>
                <w:u w:val="thick"/>
              </w:rPr>
              <w:t>逆向</w:t>
            </w:r>
            <w:r>
              <w:rPr>
                <w:rFonts w:ascii="Times New Roman" w:hAnsi="Times New Roman" w:eastAsia="宋体" w:cs="Times New Roman"/>
                <w:szCs w:val="21"/>
              </w:rPr>
              <w:t>移动(同离子效应) </w:t>
            </w:r>
          </w:p>
        </w:tc>
      </w:tr>
      <w:tr w14:paraId="55447FC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vMerge w:val="continue"/>
            <w:tcMar>
              <w:left w:w="0" w:type="dxa"/>
              <w:right w:w="0" w:type="dxa"/>
            </w:tcMar>
            <w:vAlign w:val="center"/>
          </w:tcPr>
          <w:p w14:paraId="0E5D94E9">
            <w:pPr>
              <w:spacing w:line="420" w:lineRule="exact"/>
              <w:rPr>
                <w:rFonts w:ascii="Times New Roman" w:hAnsi="Times New Roman" w:eastAsia="宋体" w:cs="Times New Roman"/>
                <w:szCs w:val="21"/>
              </w:rPr>
            </w:pPr>
          </w:p>
        </w:tc>
        <w:tc>
          <w:tcPr>
            <w:tcW w:w="4467" w:type="pct"/>
            <w:tcMar>
              <w:left w:w="105" w:type="dxa"/>
              <w:right w:w="105" w:type="dxa"/>
            </w:tcMar>
            <w:vAlign w:val="center"/>
          </w:tcPr>
          <w:p w14:paraId="37265981">
            <w:pPr>
              <w:spacing w:line="420" w:lineRule="exact"/>
              <w:rPr>
                <w:rFonts w:ascii="Times New Roman" w:hAnsi="Times New Roman" w:eastAsia="宋体" w:cs="Times New Roman"/>
                <w:szCs w:val="21"/>
              </w:rPr>
            </w:pPr>
            <w:r>
              <w:rPr>
                <w:rFonts w:ascii="Times New Roman" w:hAnsi="Times New Roman" w:eastAsia="宋体" w:cs="Times New Roman"/>
                <w:szCs w:val="21"/>
              </w:rPr>
              <w:t>加入能与弱电解质电离出的离子反应的离子,电离平衡</w:t>
            </w:r>
            <w:r>
              <w:rPr>
                <w:rFonts w:ascii="Times New Roman" w:hAnsi="Times New Roman" w:eastAsia="宋体" w:cs="Times New Roman"/>
                <w:color w:val="91ABDF"/>
                <w:szCs w:val="21"/>
                <w:u w:val="thick"/>
              </w:rPr>
              <w:t>正向</w:t>
            </w:r>
            <w:r>
              <w:rPr>
                <w:rFonts w:ascii="Times New Roman" w:hAnsi="Times New Roman" w:eastAsia="宋体" w:cs="Times New Roman"/>
                <w:szCs w:val="21"/>
              </w:rPr>
              <w:t>移动 </w:t>
            </w:r>
          </w:p>
        </w:tc>
      </w:tr>
    </w:tbl>
    <w:p w14:paraId="3FE7E8CA">
      <w:pPr>
        <w:rPr>
          <w:rFonts w:hint="eastAsia"/>
        </w:rPr>
      </w:pPr>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-1154430</wp:posOffset>
            </wp:positionH>
            <wp:positionV relativeFrom="paragraph">
              <wp:posOffset>-1994535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D67A3">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32A7E">
    <w:pPr>
      <w:pStyle w:val="12"/>
      <w:pBdr>
        <w:bottom w:val="single" w:color="auto" w:sz="4" w:space="1"/>
      </w:pBdr>
      <w:jc w:val="right"/>
      <w:rPr>
        <w:rFonts w:hint="eastAsia"/>
      </w:rPr>
    </w:pPr>
    <w:r>
      <w:rPr>
        <w:rFonts w:hint="eastAsia"/>
      </w:rPr>
      <w:t>配套《高中</w:t>
    </w:r>
    <w:bookmarkStart w:id="0" w:name="_GoBack"/>
    <w:r>
      <w:rPr>
        <w:rFonts w:cs="Times New Roman"/>
        <w:color w:val="000000" w:themeColor="text1"/>
        <w:sz w:val="20"/>
        <w:szCs w:val="20"/>
      </w:rPr>
      <w:drawing>
        <wp:anchor distT="0" distB="0" distL="114300" distR="114300" simplePos="0" relativeHeight="251662336" behindDoc="1" locked="0" layoutInCell="1" allowOverlap="1">
          <wp:simplePos x="0" y="0"/>
          <wp:positionH relativeFrom="column">
            <wp:posOffset>-1179195</wp:posOffset>
          </wp:positionH>
          <wp:positionV relativeFrom="paragraph">
            <wp:posOffset>-540385</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1"/>
                  <a:stretch>
                    <a:fillRect/>
                  </a:stretch>
                </pic:blipFill>
                <pic:spPr>
                  <a:xfrm>
                    <a:off x="0" y="0"/>
                    <a:ext cx="7595870" cy="10684510"/>
                  </a:xfrm>
                  <a:prstGeom prst="rect">
                    <a:avLst/>
                  </a:prstGeom>
                  <a:ln>
                    <a:noFill/>
                  </a:ln>
                </pic:spPr>
              </pic:pic>
            </a:graphicData>
          </a:graphic>
        </wp:anchor>
      </w:drawing>
    </w:r>
    <w:bookmarkEnd w:id="0"/>
    <w:r>
      <w:rPr>
        <w:rFonts w:hint="eastAsia"/>
      </w:rPr>
      <w:t>必刷题 化学 选择性必修1 化学反应原理 LK》使用</w:t>
    </w:r>
  </w:p>
  <w:p w14:paraId="048EA464">
    <w:pPr>
      <w:pStyle w:val="12"/>
      <w:rPr>
        <w:rFonts w:hint="eastAsia"/>
      </w:rPr>
    </w:pPr>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2" o:title="1f7f41eadd1a609cd69613e89db4866"/>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EB12DE"/>
    <w:rsid w:val="00155F19"/>
    <w:rsid w:val="002E7485"/>
    <w:rsid w:val="00617358"/>
    <w:rsid w:val="007E24E9"/>
    <w:rsid w:val="00862989"/>
    <w:rsid w:val="00953783"/>
    <w:rsid w:val="00A27BC7"/>
    <w:rsid w:val="00A65F3E"/>
    <w:rsid w:val="00A973C2"/>
    <w:rsid w:val="00BD097B"/>
    <w:rsid w:val="00EB12DE"/>
    <w:rsid w:val="048F3542"/>
    <w:rsid w:val="0B704BE2"/>
    <w:rsid w:val="609445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653</Words>
  <Characters>734</Characters>
  <Lines>20</Lines>
  <Paragraphs>28</Paragraphs>
  <TotalTime>0</TotalTime>
  <ScaleCrop>false</ScaleCrop>
  <LinksUpToDate>false</LinksUpToDate>
  <CharactersWithSpaces>751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2025-04-02T01:44:00Z</dcterms:created>
  <dc:creator>1224348813@qq.com</dc:creator>
  <cp:lastModifiedBy>刘岩</cp:lastModifiedBy>
  <dcterms:modified xsi:type="dcterms:W3CDTF">2026-03-20T02:21:27Z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402C12B03717441187CA4C0848199058_12</vt:lpwstr>
  </property>
</Properties>
</file>